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2"/>
        <w:rPr/>
      </w:pPr>
      <w:r w:rsidDel="00000000" w:rsidR="00000000" w:rsidRPr="00000000">
        <w:rPr>
          <w:b w:val="1"/>
          <w:bCs w:val="1"/>
          <w:rtl w:val="0"/>
        </w:rPr>
        <w:t xml:space="preserve">Teaching–Learning Feedback Mechanism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institution has a structured and systematic mechanism for collecting, analyzing, and utilizing student feedback on teaching–learning processes. Feedback is obtained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twice in every semester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to ensure continuous quality improvement and timely corrective actions.</w:t>
      </w:r>
    </w:p>
    <w:p w:rsidR="00000000" w:rsidDel="00000000" w:rsidP="00000000" w:rsidRDefault="00000000" w:rsidRPr="00000000" w14:paraId="00000004">
      <w:pPr>
        <w:pStyle w:val="Heading3"/>
        <w:rPr/>
      </w:pPr>
      <w:r w:rsidDel="00000000" w:rsidR="00000000" w:rsidRPr="00000000">
        <w:rPr>
          <w:b w:val="1"/>
          <w:bCs w:val="1"/>
          <w:rtl w:val="0"/>
        </w:rPr>
        <w:t xml:space="preserve">1. Online Feedback through Google Form (Once Every Semester)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At the mid-point of each semester, the institution circulates a detailed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Teaching–Learning Feedback Google Form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for all programs and semesters.</w:t>
        <w:br w:type="textWrapping"/>
        <w:t xml:space="preserve">This form includes: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Branch and semester-wise feedback structure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Subject-wise faculty evaluation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Parameters related to clarity of explanation, learning effectiveness, preparedness, punctuality, and lab/theory teaching quality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Rating scales (1 to 5) for evidence-based assessment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Optional open suggestions by students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Anonymous response collection to ensure transparency and fairness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This mid-semester Google Form feedback allows departments to identify issues early and take corrective actions (pedagogy adjustments, extra classes, remedial sessions, counselling, etc.).</w:t>
      </w:r>
    </w:p>
    <w:p w:rsidR="00000000" w:rsidDel="00000000" w:rsidP="00000000" w:rsidRDefault="00000000" w:rsidRPr="00000000" w14:paraId="0000000D">
      <w:pPr>
        <w:pStyle w:val="Heading3"/>
        <w:rPr/>
      </w:pPr>
      <w:r w:rsidDel="00000000" w:rsidR="00000000" w:rsidRPr="00000000">
        <w:rPr>
          <w:b w:val="1"/>
          <w:bCs w:val="1"/>
          <w:rtl w:val="0"/>
        </w:rPr>
        <w:t xml:space="preserve">2. End-Semester Feedback through ERP (Once Every Semester)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At the end of the semester, a second round of feedback is conducted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through the institution’s ERP system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  <w:br w:type="textWrapping"/>
        <w:t xml:space="preserve">This ERP feedback is mandatory for all students and includes: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Course-wise and faculty-wise structured evaluation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Feedback on teaching quality, content delivery, learning resources, and classroom environment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Overall satisfaction index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Additional comments for further improvement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ERP-based feedback is integrated with institutional data for departmental review meetings and academic audits.</w:t>
      </w:r>
    </w:p>
    <w:p w:rsidR="00000000" w:rsidDel="00000000" w:rsidP="00000000" w:rsidRDefault="00000000" w:rsidRPr="00000000" w14:paraId="00000014">
      <w:pPr>
        <w:pStyle w:val="Heading3"/>
        <w:rPr/>
      </w:pPr>
      <w:r w:rsidDel="00000000" w:rsidR="00000000" w:rsidRPr="00000000">
        <w:rPr>
          <w:b w:val="1"/>
          <w:bCs w:val="1"/>
          <w:rtl w:val="0"/>
        </w:rPr>
        <w:t xml:space="preserve">3. Frequency of Feedback Collection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To maintain quality and comply with NAAC requirements: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“Feedback is collected twice in a semester – one through Google Form (mid-semester) and the other through ERP (end-semester).”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This twice-in-semester mechanism ensures ongoing monitoring of teaching practices and reinforces the commitment to academic excellence.</w:t>
      </w:r>
    </w:p>
    <w:p w:rsidR="00000000" w:rsidDel="00000000" w:rsidP="00000000" w:rsidRDefault="00000000" w:rsidRPr="00000000" w14:paraId="00000018">
      <w:pPr>
        <w:pStyle w:val="Heading3"/>
        <w:rPr/>
      </w:pPr>
      <w:r w:rsidDel="00000000" w:rsidR="00000000" w:rsidRPr="00000000">
        <w:rPr>
          <w:b w:val="1"/>
          <w:bCs w:val="1"/>
          <w:rtl w:val="0"/>
        </w:rPr>
        <w:t xml:space="preserve">4. Analysis and Action Taken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Feedback is compiled, analyzed, and presented to the IQAC and HODs.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Action Taken Reports (ATRs) are prepared for each department.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Required improvements are implemented (faculty mentoring, content delivery enhancements, remedial classes, lab upgradation, etc.).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ATRs are uploaded on institutional records for NAAC documentation.</w:t>
      </w:r>
    </w:p>
    <w:p w:rsidR="00000000" w:rsidDel="00000000" w:rsidP="00000000" w:rsidRDefault="00000000" w:rsidRPr="00000000" w14:paraId="0000001D">
      <w:pPr>
        <w:pStyle w:val="Heading3"/>
        <w:rPr/>
      </w:pPr>
      <w:r w:rsidDel="00000000" w:rsidR="00000000" w:rsidRPr="00000000">
        <w:rPr>
          <w:b w:val="1"/>
          <w:bCs w:val="1"/>
          <w:rtl w:val="0"/>
        </w:rPr>
        <w:t xml:space="preserve">5. Outcome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This dual-feedback mechanism creates a robust quality assurance framework and ensures that teaching-learning processes remain student-centric, effective, and continually improving.</w:t>
      </w:r>
    </w:p>
    <w:p w:rsidR="00000000" w:rsidDel="00000000" w:rsidP="00000000" w:rsidRDefault="00000000" w:rsidRPr="00000000" w14:paraId="0000001F">
      <w:pPr>
        <w:rPr>
          <w:b w:val="1"/>
          <w:bCs w:val="1"/>
          <w:sz w:val="44"/>
          <w:szCs w:val="44"/>
          <w:u w:val="single"/>
        </w:rPr>
      </w:pPr>
      <w:r w:rsidDel="00000000" w:rsidR="00000000" w:rsidRPr="00000000">
        <w:rPr>
          <w:highlight w:val="cyan"/>
          <w:u w:val="single"/>
          <w:rtl w:val="0"/>
        </w:rPr>
        <w:t xml:space="preserve">Google Form Link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bookmarkStart w:colFirst="0" w:colLast="0" w:name="_rz7gad7q2vz1" w:id="0"/>
      <w:bookmarkEnd w:id="0"/>
      <w:r w:rsidDel="00000000" w:rsidR="00000000" w:rsidRPr="00000000">
        <w:rPr>
          <w:rtl w:val="0"/>
        </w:rPr>
        <w:t xml:space="preserve">https://forms.gle/khDutWSrLoutstRGA</w:t>
      </w:r>
    </w:p>
    <w:sectPr>
      <w:headerReference r:id="rId6" w:type="default"/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Cambria"/>
  <w:font w:name="Times New Roman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868831" cy="534052"/>
          <wp:effectExtent b="0" l="0" r="0" t="0"/>
          <wp:docPr descr="C:\Users\ass.DESKTOP-B0TS625\Downloads\iqac_logo_updated (1).png" id="1" name="image1.png"/>
          <a:graphic>
            <a:graphicData uri="http://schemas.openxmlformats.org/drawingml/2006/picture">
              <pic:pic>
                <pic:nvPicPr>
                  <pic:cNvPr descr="C:\Users\ass.DESKTOP-B0TS625\Downloads\iqac_logo_updated (1).png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68831" cy="534052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                                                                                                           </w:t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1435130" cy="456787"/>
          <wp:effectExtent b="0" l="0" r="0" t="0"/>
          <wp:docPr id="2" name="image2.jpg"/>
          <a:graphic>
            <a:graphicData uri="http://schemas.openxmlformats.org/drawingml/2006/picture">
              <pic:pic>
                <pic:nvPicPr>
                  <pic:cNvPr id="0" name="image2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435130" cy="456787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  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IN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mbria" w:cs="Cambria" w:eastAsia="Cambria" w:hAnsi="Cambria"/>
      <w:b w:val="1"/>
      <w:bCs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