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rPr>
          <w:b w:val="1"/>
          <w:bCs w:val="1"/>
        </w:rPr>
      </w:pPr>
      <w:r w:rsidDel="00000000" w:rsidR="00000000" w:rsidRPr="00000000">
        <w:rPr>
          <w:rtl w:val="0"/>
        </w:rPr>
      </w:r>
    </w:p>
    <w:p w:rsidR="00000000" w:rsidDel="00000000" w:rsidP="00000000" w:rsidRDefault="00000000" w:rsidRPr="00000000" w14:paraId="00000002">
      <w:pPr>
        <w:pStyle w:val="Heading1"/>
        <w:rPr/>
      </w:pPr>
      <w:r w:rsidDel="00000000" w:rsidR="00000000" w:rsidRPr="00000000">
        <w:rPr>
          <w:b w:val="1"/>
          <w:bCs w:val="1"/>
          <w:rtl w:val="0"/>
        </w:rPr>
        <w:t xml:space="preserve">Alumni Feedback Mechanism</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institution has a structured and transparent mechanism to collect feedback from its alumni to ensure continuous improvement in curriculum relevance, academic processes, student support services, and overall institutional development. Alumni feedback provides valuable insights based on real-world experience and enhances the quality of teaching–learning practices.</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rPr/>
      </w:pPr>
      <w:r w:rsidDel="00000000" w:rsidR="00000000" w:rsidRPr="00000000">
        <w:rPr>
          <w:b w:val="1"/>
          <w:bCs w:val="1"/>
          <w:rtl w:val="0"/>
        </w:rPr>
        <w:t xml:space="preserve">1. Frequency and Mode of Alumni Feedback Collection</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Alumni feedback is collected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once in a year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through a standardized Google Form.</w:t>
      </w:r>
    </w:p>
    <w:p w:rsidR="00000000" w:rsidDel="00000000" w:rsidP="00000000" w:rsidRDefault="00000000" w:rsidRPr="00000000" w14:paraId="00000007">
      <w:pPr>
        <w:pStyle w:val="Heading3"/>
        <w:rPr/>
      </w:pPr>
      <w:r w:rsidDel="00000000" w:rsidR="00000000" w:rsidRPr="00000000">
        <w:rPr>
          <w:b w:val="1"/>
          <w:bCs w:val="1"/>
          <w:rtl w:val="0"/>
        </w:rPr>
        <w:t xml:space="preserve">“Alumni Feedback is collected once in a year via Google Form by the Alumni Association Head (Ms. Antim) for NAAC quality assurance purposes.”</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annual process ensures that alumni perspectives are incorporated into institutional planning and quality enhancement.</w:t>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2"/>
        <w:rPr/>
      </w:pPr>
      <w:r w:rsidDel="00000000" w:rsidR="00000000" w:rsidRPr="00000000">
        <w:rPr>
          <w:b w:val="1"/>
          <w:bCs w:val="1"/>
          <w:rtl w:val="0"/>
        </w:rPr>
        <w:t xml:space="preserve">2. Role of Alumni Association Head</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Alumni Association Head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is responsible for:</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Circulating the Google Form to alumni from all programs</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Ensuring maximum participation from pass-out batches</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Coordinating communication with alumni groups</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Collecting and consolidating responses</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Sharing the compiled feedback with the concerned Heads of Departments (HODs)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for further action</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centralized approach ensures transparency, consistency, and effective data management.</w:t>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2"/>
        <w:rPr/>
      </w:pPr>
      <w:r w:rsidDel="00000000" w:rsidR="00000000" w:rsidRPr="00000000">
        <w:rPr>
          <w:b w:val="1"/>
          <w:bCs w:val="1"/>
          <w:rtl w:val="0"/>
        </w:rPr>
        <w:t xml:space="preserve">3. Parameters Covered in Alumni Feedback</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form includes comprehensive 5-point rating scale (1 = Poor, 5 = Excellent) questions addressing:</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Relevance of curriculum to industry and global standards</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Coverage of contemporary topics and national priorities</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Skill development, competencies, and readiness for employment</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Availability of experiential and project-based learning</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Importance given to ethics, professionalism, and sustainability</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Support from curricular and co-curricular activities</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Encouragement toward innovation and entrepreneurship</w:t>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Transparency of internal assessment and academic processes</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Overall satisfaction with academic environment and institutional functioning</w:t>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Additional comments for improving curriculum and institutional processes</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structured format ensures that alumni assessments are objective, actionable, and aligned with NAAC expectations.</w:t>
      </w:r>
    </w:p>
    <w:p w:rsidR="00000000" w:rsidDel="00000000" w:rsidP="00000000" w:rsidRDefault="00000000" w:rsidRPr="00000000" w14:paraId="000000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Heading2"/>
        <w:rPr/>
      </w:pPr>
      <w:r w:rsidDel="00000000" w:rsidR="00000000" w:rsidRPr="00000000">
        <w:rPr>
          <w:b w:val="1"/>
          <w:bCs w:val="1"/>
          <w:rtl w:val="0"/>
        </w:rPr>
        <w:t xml:space="preserve">4. Sharing, Analysis &amp; Departmental Action</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Alumni Association Head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shares the collected responses with the concerned HODs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Departments analyze the feedback to identify strengths and areas for improvement.</w:t>
      </w:r>
    </w:p>
    <w:p w:rsidR="00000000" w:rsidDel="00000000" w:rsidP="00000000" w:rsidRDefault="00000000" w:rsidRPr="00000000" w14:paraId="0000002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IQAC reviews the consolidated report for quality enhancement.</w:t>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Action Taken Reports (ATRs) are prepared to document improvements like curriculum modifications, skill development sessions, alumni lectures, and enhancements to student support services.</w:t>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2"/>
        <w:rPr/>
      </w:pPr>
      <w:r w:rsidDel="00000000" w:rsidR="00000000" w:rsidRPr="00000000">
        <w:rPr>
          <w:b w:val="1"/>
          <w:bCs w:val="1"/>
          <w:rtl w:val="0"/>
        </w:rPr>
        <w:t xml:space="preserve">5. Outcomes and NAAC Alignment</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alumni feedback supports the institution in:</w:t>
      </w:r>
    </w:p>
    <w:p w:rsidR="00000000" w:rsidDel="00000000" w:rsidP="00000000" w:rsidRDefault="00000000" w:rsidRPr="00000000" w14:paraId="0000002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Updating curriculum to meet industry standards</w:t>
      </w:r>
    </w:p>
    <w:p w:rsidR="00000000" w:rsidDel="00000000" w:rsidP="00000000" w:rsidRDefault="00000000" w:rsidRPr="00000000" w14:paraId="0000002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Enhancing teaching–learning methodologies</w:t>
      </w:r>
    </w:p>
    <w:p w:rsidR="00000000" w:rsidDel="00000000" w:rsidP="00000000" w:rsidRDefault="00000000" w:rsidRPr="00000000" w14:paraId="0000002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Improving institutional systems like admission, examination, and academic support</w:t>
      </w:r>
    </w:p>
    <w:p w:rsidR="00000000" w:rsidDel="00000000" w:rsidP="00000000" w:rsidRDefault="00000000" w:rsidRPr="00000000" w14:paraId="000000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Strengthening alumni–institution engagement</w:t>
      </w:r>
    </w:p>
    <w:p w:rsidR="00000000" w:rsidDel="00000000" w:rsidP="00000000" w:rsidRDefault="00000000" w:rsidRPr="00000000" w14:paraId="0000002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Supporting NAAC criteria related to curriculum design, student progression, governance, and quality improvement</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annual, structured system ensures that alumni voices contribute directly to continuous quality enhancement.</w:t>
      </w:r>
    </w:p>
    <w:p w:rsidR="00000000" w:rsidDel="00000000" w:rsidP="00000000" w:rsidRDefault="00000000" w:rsidRPr="00000000" w14:paraId="0000002F">
      <w:pPr>
        <w:rPr>
          <w:b w:val="1"/>
          <w:bCs w:val="1"/>
          <w:sz w:val="44"/>
          <w:szCs w:val="44"/>
          <w:u w:val="single"/>
        </w:rPr>
      </w:pPr>
      <w:r w:rsidDel="00000000" w:rsidR="00000000" w:rsidRPr="00000000">
        <w:rPr>
          <w:highlight w:val="cyan"/>
          <w:u w:val="single"/>
          <w:rtl w:val="0"/>
        </w:rPr>
        <w:t xml:space="preserve">Google Form Link</w:t>
      </w:r>
      <w:r w:rsidDel="00000000" w:rsidR="00000000" w:rsidRPr="00000000">
        <w:rPr>
          <w:rtl w:val="0"/>
        </w:rPr>
      </w:r>
    </w:p>
    <w:p w:rsidR="00000000" w:rsidDel="00000000" w:rsidP="00000000" w:rsidRDefault="00000000" w:rsidRPr="00000000" w14:paraId="00000030">
      <w:pPr>
        <w:rPr/>
      </w:pPr>
      <w:bookmarkStart w:colFirst="0" w:colLast="0" w:name="_b46afdeuxn6" w:id="0"/>
      <w:bookmarkEnd w:id="0"/>
      <w:r w:rsidDel="00000000" w:rsidR="00000000" w:rsidRPr="00000000">
        <w:rPr>
          <w:rtl w:val="0"/>
        </w:rPr>
        <w:t xml:space="preserve">https://forms.gle/dWoP1eRGrE8LPTAv5</w:t>
      </w:r>
    </w:p>
    <w:sectPr>
      <w:headerReference r:id="rId6"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868831" cy="534052"/>
          <wp:effectExtent b="0" l="0" r="0" t="0"/>
          <wp:docPr descr="C:\Users\ass.DESKTOP-B0TS625\Downloads\iqac_logo_updated (1).png" id="1" name="image2.png"/>
          <a:graphic>
            <a:graphicData uri="http://schemas.openxmlformats.org/drawingml/2006/picture">
              <pic:pic>
                <pic:nvPicPr>
                  <pic:cNvPr descr="C:\Users\ass.DESKTOP-B0TS625\Downloads\iqac_logo_updated (1).png" id="0" name="image2.png"/>
                  <pic:cNvPicPr preferRelativeResize="0"/>
                </pic:nvPicPr>
                <pic:blipFill>
                  <a:blip r:embed="rId1"/>
                  <a:srcRect b="0" l="0" r="0" t="0"/>
                  <a:stretch>
                    <a:fillRect/>
                  </a:stretch>
                </pic:blipFill>
                <pic:spPr>
                  <a:xfrm>
                    <a:off x="0" y="0"/>
                    <a:ext cx="868831" cy="534052"/>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1435130" cy="456787"/>
          <wp:effectExtent b="0" l="0" r="0" t="0"/>
          <wp:docPr id="2"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435130" cy="456787"/>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mbria" w:cs="Cambria" w:eastAsia="Cambria" w:hAnsi="Cambria"/>
      <w:b w:val="1"/>
      <w:bCs w:val="1"/>
      <w:color w:val="366091"/>
      <w:sz w:val="28"/>
      <w:szCs w:val="28"/>
    </w:rPr>
  </w:style>
  <w:style w:type="paragraph" w:styleId="Heading2">
    <w:name w:val="heading 2"/>
    <w:basedOn w:val="Normal"/>
    <w:next w:val="Normal"/>
    <w:pPr>
      <w:spacing w:line="240" w:lineRule="auto"/>
    </w:pPr>
    <w:rPr>
      <w:rFonts w:ascii="Times New Roman" w:cs="Times New Roman" w:eastAsia="Times New Roman" w:hAnsi="Times New Roman"/>
      <w:b w:val="1"/>
      <w:bCs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